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38.000000000002" w:type="dxa"/>
        <w:jc w:val="left"/>
        <w:tblLayout w:type="fixed"/>
        <w:tblLook w:val="0400"/>
      </w:tblPr>
      <w:tblGrid>
        <w:gridCol w:w="4608"/>
        <w:gridCol w:w="5830.000000000001"/>
        <w:tblGridChange w:id="0">
          <w:tblGrid>
            <w:gridCol w:w="4608"/>
            <w:gridCol w:w="5830.000000000001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Georgia" w:cs="Georgia" w:eastAsia="Georgia" w:hAnsi="Georg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</w:rPr>
              <w:drawing>
                <wp:inline distB="0" distT="0" distL="0" distR="0">
                  <wp:extent cx="2752294" cy="207481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294" cy="2074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43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jc w:val="right"/>
              <w:rPr>
                <w:rFonts w:ascii="Arial Black" w:cs="Arial Black" w:eastAsia="Arial Black" w:hAnsi="Arial Black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Job Description Compensation Information (non-students)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  <w:color w:val="ff0000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This is a template intended for Job Description drafting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only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. All proposed reclassification or temporary stipend requests must be entered in the Job Builder system (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1"/>
                  <w:color w:val="1155cc"/>
                  <w:u w:val="single"/>
                  <w:rtl w:val="0"/>
                </w:rPr>
                <w:t xml:space="preserve">https://universityofcalifornia.marketpayjobs.com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) for review and approval by HR Compensation.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Layout w:type="fixed"/>
        <w:tblLook w:val="0400"/>
      </w:tblPr>
      <w:tblGrid>
        <w:gridCol w:w="5985"/>
        <w:gridCol w:w="4785"/>
        <w:tblGridChange w:id="0">
          <w:tblGrid>
            <w:gridCol w:w="5985"/>
            <w:gridCol w:w="478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shd w:fill="003660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Verdana" w:cs="Verdana" w:eastAsia="Verdana" w:hAnsi="Verdana"/>
                <w:color w:val="f8f8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8f8ff"/>
                <w:sz w:val="24"/>
                <w:szCs w:val="24"/>
                <w:rtl w:val="0"/>
              </w:rPr>
              <w:t xml:space="preserve">Compensation Information Template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cccccc" w:space="0" w:sz="4" w:val="single"/>
              <w:right w:color="ffffff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For all fields, please use the hourly rate for BW employees and the annual rate for MO employees</w:t>
            </w:r>
          </w:p>
        </w:tc>
      </w:tr>
      <w:tr>
        <w:trPr>
          <w:cantSplit w:val="0"/>
          <w:trHeight w:val="306.52173913043487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Current Salary/Pay rate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1521739130435" w:hRule="atLeast"/>
          <w:tblHeader w:val="0"/>
        </w:trPr>
        <w:tc>
          <w:tcPr>
            <w:tcBorders>
              <w:top w:color="cccccc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Verdana" w:cs="Verdana" w:eastAsia="Verdana" w:hAnsi="Verdana"/>
                <w:color w:val="f8f8ff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Effective date of the current Salary/Pay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f8f8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50000000000006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Proposed reclass percentage increase (i.e. 5, 10, 15)</w:t>
            </w:r>
          </w:p>
        </w:tc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50000000000006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Proposed new Salary/Pay rate (reclasses only)</w:t>
            </w:r>
          </w:p>
        </w:tc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50000000000006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Proposed new Step/Salary Grade (reclasses only)</w:t>
            </w:r>
          </w:p>
        </w:tc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.413043478261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Proposed stipend amount (enter a pro-rated MO or BW amount)</w:t>
            </w:r>
          </w:p>
        </w:tc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50000000000006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Proposed stipend percentage increase (i.e. 5, 10, 15)</w:t>
            </w:r>
          </w:p>
        </w:tc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.413043478261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Have you considered the impact of the above salary increases on other employees in your department?</w:t>
            </w:r>
          </w:p>
        </w:tc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.50000000000006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Fund Source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rPr>
          <w:rFonts w:ascii="Verdana" w:cs="Verdana" w:eastAsia="Verdana" w:hAnsi="Verdana"/>
          <w:color w:val="f8f8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rPr/>
      </w:pPr>
      <w:r w:rsidDel="00000000" w:rsidR="00000000" w:rsidRPr="00000000">
        <w:rPr>
          <w:rtl w:val="0"/>
        </w:rPr>
        <w:t xml:space="preserve">Please provide a detailed justification or other comments to support the proposed compensation for this action.</w:t>
      </w:r>
    </w:p>
    <w:p w:rsidR="00000000" w:rsidDel="00000000" w:rsidP="00000000" w:rsidRDefault="00000000" w:rsidRPr="00000000" w14:paraId="00000020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460.0" w:type="dxa"/>
        <w:jc w:val="left"/>
        <w:tblLayout w:type="fixed"/>
        <w:tblLook w:val="0400"/>
      </w:tblPr>
      <w:tblGrid>
        <w:gridCol w:w="10755"/>
        <w:gridCol w:w="3705"/>
        <w:tblGridChange w:id="0">
          <w:tblGrid>
            <w:gridCol w:w="10755"/>
            <w:gridCol w:w="3705"/>
          </w:tblGrid>
        </w:tblGridChange>
      </w:tblGrid>
      <w:tr>
        <w:trPr>
          <w:cantSplit w:val="0"/>
          <w:trHeight w:val="1808.759765625" w:hRule="atLeast"/>
          <w:tblHeader w:val="0"/>
        </w:trPr>
        <w:tc>
          <w:tcPr>
            <w:tcBorders>
              <w:top w:color="d3d3d3" w:space="0" w:sz="4" w:val="single"/>
              <w:left w:color="d3d3d3" w:space="0" w:sz="4" w:val="single"/>
              <w:bottom w:color="d3d3d3" w:space="0" w:sz="4" w:val="single"/>
              <w:right w:color="d3d3d3" w:space="0" w:sz="4" w:val="single"/>
            </w:tcBorders>
            <w:shd w:fill="ffffff" w:val="clear"/>
            <w:tcMar>
              <w:top w:w="20.0" w:type="dxa"/>
              <w:left w:w="20.0" w:type="dxa"/>
              <w:bottom w:w="40.0" w:type="dxa"/>
              <w:right w:w="2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rPr>
          <w:rFonts w:ascii="Verdana" w:cs="Verdana" w:eastAsia="Verdana" w:hAnsi="Verdana"/>
          <w:color w:val="f8f8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Verdana" w:cs="Verdana" w:eastAsia="Verdana" w:hAnsi="Verdana"/>
          <w:color w:val="f8f8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niversityofcalifornia.marketpayjobs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