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A46" w:rsidRDefault="00153A46" w:rsidP="00153A46">
      <w:pPr>
        <w:widowControl w:val="0"/>
        <w:autoSpaceDE w:val="0"/>
        <w:autoSpaceDN w:val="0"/>
        <w:adjustRightInd w:val="0"/>
        <w:spacing w:after="0" w:line="240" w:lineRule="auto"/>
        <w:ind w:left="348"/>
        <w:jc w:val="center"/>
        <w:rPr>
          <w:rFonts w:ascii="Helvetica" w:hAnsi="Helvetica" w:cs="Helvetica"/>
          <w:b/>
          <w:bCs/>
          <w:sz w:val="28"/>
          <w:szCs w:val="28"/>
        </w:rPr>
      </w:pPr>
      <w:r w:rsidRPr="00153A46">
        <w:rPr>
          <w:rFonts w:ascii="Helvetica" w:hAnsi="Helvetica" w:cs="Helvetica"/>
          <w:b/>
          <w:bCs/>
          <w:sz w:val="28"/>
          <w:szCs w:val="28"/>
        </w:rPr>
        <w:t>SYSTEMS AND NETWORK ADMINISTRATORS</w:t>
      </w:r>
    </w:p>
    <w:p w:rsidR="00153A46" w:rsidRPr="00153A46" w:rsidRDefault="00153A46" w:rsidP="00153A46">
      <w:pPr>
        <w:widowControl w:val="0"/>
        <w:autoSpaceDE w:val="0"/>
        <w:autoSpaceDN w:val="0"/>
        <w:adjustRightInd w:val="0"/>
        <w:spacing w:after="0" w:line="240" w:lineRule="auto"/>
        <w:ind w:left="348"/>
        <w:jc w:val="center"/>
        <w:rPr>
          <w:rFonts w:ascii="Helvetica" w:hAnsi="Helvetica" w:cs="Helvetica"/>
          <w:b/>
          <w:bCs/>
          <w:sz w:val="28"/>
          <w:szCs w:val="28"/>
        </w:rPr>
      </w:pPr>
    </w:p>
    <w:p w:rsidR="00153A46" w:rsidRPr="00E71215" w:rsidRDefault="00153A46" w:rsidP="00153A46">
      <w:pPr>
        <w:widowControl w:val="0"/>
        <w:autoSpaceDE w:val="0"/>
        <w:autoSpaceDN w:val="0"/>
        <w:adjustRightInd w:val="0"/>
        <w:spacing w:after="0" w:line="240" w:lineRule="auto"/>
        <w:ind w:left="348"/>
        <w:jc w:val="center"/>
        <w:rPr>
          <w:rFonts w:ascii="Helvetica" w:hAnsi="Helvetica" w:cs="Helvetica"/>
          <w:b/>
          <w:bCs/>
        </w:rPr>
      </w:pPr>
      <w:r>
        <w:rPr>
          <w:rFonts w:ascii="Helvetica" w:hAnsi="Helvetica" w:cs="Helvetica"/>
          <w:b/>
          <w:bCs/>
        </w:rPr>
        <w:t xml:space="preserve">QUESTIONNAIRE/CONSIDERATION LIST </w:t>
      </w:r>
    </w:p>
    <w:p w:rsidR="00153A46" w:rsidRPr="00E71215" w:rsidRDefault="00153A46" w:rsidP="00153A46">
      <w:pPr>
        <w:widowControl w:val="0"/>
        <w:autoSpaceDE w:val="0"/>
        <w:autoSpaceDN w:val="0"/>
        <w:adjustRightInd w:val="0"/>
        <w:spacing w:after="0" w:line="240" w:lineRule="auto"/>
        <w:ind w:left="348"/>
        <w:rPr>
          <w:rFonts w:ascii="Arial" w:hAnsi="Arial" w:cs="Arial"/>
        </w:rPr>
      </w:pPr>
    </w:p>
    <w:p w:rsidR="00153A46" w:rsidRPr="00E71215" w:rsidRDefault="00153A46" w:rsidP="00153A46">
      <w:pPr>
        <w:widowControl w:val="0"/>
        <w:autoSpaceDE w:val="0"/>
        <w:autoSpaceDN w:val="0"/>
        <w:adjustRightInd w:val="0"/>
        <w:spacing w:after="0" w:line="240" w:lineRule="auto"/>
        <w:ind w:left="708"/>
        <w:rPr>
          <w:rFonts w:ascii="Arial" w:hAnsi="Arial" w:cs="Arial"/>
        </w:rPr>
      </w:pPr>
      <w:r w:rsidRPr="00E71215">
        <w:rPr>
          <w:rFonts w:ascii="Arial" w:hAnsi="Arial" w:cs="Arial"/>
        </w:rPr>
        <w:t>The following list of IT services and activities presents an overview of the sorts of IT efforts performed by most academic departments. A consideration of this list could be helpful in developing job descriptions that present a clear picture of the different areas of responsibility. The goal is for the roles and responsibilities associated with each position to be distinctly defined in a way that also displays the organizational relationship between positions.  This basic inventory of responsibilities and functions will also help insure that significant areas of responsibility are not missing altogether from the job descriptions.</w:t>
      </w:r>
    </w:p>
    <w:p w:rsidR="00153A46" w:rsidRPr="00E71215" w:rsidRDefault="00153A46" w:rsidP="00153A46">
      <w:pPr>
        <w:widowControl w:val="0"/>
        <w:autoSpaceDE w:val="0"/>
        <w:autoSpaceDN w:val="0"/>
        <w:adjustRightInd w:val="0"/>
        <w:spacing w:after="0" w:line="240" w:lineRule="auto"/>
        <w:ind w:left="708"/>
        <w:rPr>
          <w:rFonts w:ascii="Arial" w:hAnsi="Arial" w:cs="Arial"/>
        </w:rPr>
      </w:pPr>
    </w:p>
    <w:p w:rsidR="00153A46" w:rsidRPr="00E71215" w:rsidRDefault="00153A46" w:rsidP="00153A46">
      <w:pPr>
        <w:widowControl w:val="0"/>
        <w:autoSpaceDE w:val="0"/>
        <w:autoSpaceDN w:val="0"/>
        <w:adjustRightInd w:val="0"/>
        <w:spacing w:after="0" w:line="240" w:lineRule="auto"/>
        <w:ind w:left="708"/>
        <w:rPr>
          <w:rFonts w:ascii="Arial" w:hAnsi="Arial" w:cs="Arial"/>
        </w:rPr>
      </w:pPr>
      <w:r w:rsidRPr="00E71215">
        <w:rPr>
          <w:rFonts w:ascii="Arial" w:hAnsi="Arial" w:cs="Arial"/>
        </w:rPr>
        <w:t>For each job description in the IT organization, for each service area, consider whether that position is responsible for:</w:t>
      </w:r>
    </w:p>
    <w:p w:rsidR="00153A46" w:rsidRPr="00E71215" w:rsidRDefault="00153A46" w:rsidP="00153A46">
      <w:pPr>
        <w:widowControl w:val="0"/>
        <w:autoSpaceDE w:val="0"/>
        <w:autoSpaceDN w:val="0"/>
        <w:adjustRightInd w:val="0"/>
        <w:spacing w:after="0" w:line="240" w:lineRule="auto"/>
        <w:ind w:left="708"/>
        <w:rPr>
          <w:rFonts w:ascii="Arial" w:hAnsi="Arial" w:cs="Arial"/>
        </w:rPr>
      </w:pPr>
    </w:p>
    <w:p w:rsidR="00153A46" w:rsidRPr="00E71215" w:rsidRDefault="00153A46" w:rsidP="00153A46">
      <w:pPr>
        <w:pStyle w:val="ListParagraph"/>
        <w:widowControl w:val="0"/>
        <w:numPr>
          <w:ilvl w:val="0"/>
          <w:numId w:val="1"/>
        </w:numPr>
        <w:autoSpaceDE w:val="0"/>
        <w:autoSpaceDN w:val="0"/>
        <w:adjustRightInd w:val="0"/>
        <w:spacing w:after="0" w:line="240" w:lineRule="auto"/>
        <w:ind w:left="1095"/>
        <w:rPr>
          <w:rFonts w:ascii="Arial" w:hAnsi="Arial" w:cs="Arial"/>
        </w:rPr>
      </w:pPr>
      <w:r w:rsidRPr="00E71215">
        <w:rPr>
          <w:rFonts w:ascii="Arial" w:hAnsi="Arial" w:cs="Arial"/>
        </w:rPr>
        <w:t>the definition and prioritization of that service</w:t>
      </w:r>
    </w:p>
    <w:p w:rsidR="00153A46" w:rsidRPr="00E71215" w:rsidRDefault="00153A46" w:rsidP="00153A46">
      <w:pPr>
        <w:pStyle w:val="ListParagraph"/>
        <w:widowControl w:val="0"/>
        <w:numPr>
          <w:ilvl w:val="0"/>
          <w:numId w:val="1"/>
        </w:numPr>
        <w:autoSpaceDE w:val="0"/>
        <w:autoSpaceDN w:val="0"/>
        <w:adjustRightInd w:val="0"/>
        <w:spacing w:after="0" w:line="240" w:lineRule="auto"/>
        <w:ind w:left="1095"/>
        <w:rPr>
          <w:rFonts w:ascii="Arial" w:hAnsi="Arial" w:cs="Arial"/>
        </w:rPr>
      </w:pPr>
      <w:r w:rsidRPr="00E71215">
        <w:rPr>
          <w:rFonts w:ascii="Arial" w:hAnsi="Arial" w:cs="Arial"/>
        </w:rPr>
        <w:t>the design of the service</w:t>
      </w:r>
    </w:p>
    <w:p w:rsidR="00153A46" w:rsidRPr="00E71215" w:rsidRDefault="00153A46" w:rsidP="00153A46">
      <w:pPr>
        <w:pStyle w:val="ListParagraph"/>
        <w:widowControl w:val="0"/>
        <w:numPr>
          <w:ilvl w:val="0"/>
          <w:numId w:val="1"/>
        </w:numPr>
        <w:autoSpaceDE w:val="0"/>
        <w:autoSpaceDN w:val="0"/>
        <w:adjustRightInd w:val="0"/>
        <w:spacing w:after="0" w:line="240" w:lineRule="auto"/>
        <w:ind w:left="1095"/>
        <w:rPr>
          <w:rFonts w:ascii="Arial" w:hAnsi="Arial" w:cs="Arial"/>
        </w:rPr>
      </w:pPr>
      <w:r w:rsidRPr="00E71215">
        <w:rPr>
          <w:rFonts w:ascii="Arial" w:hAnsi="Arial" w:cs="Arial"/>
        </w:rPr>
        <w:t>the implementation of that design</w:t>
      </w:r>
    </w:p>
    <w:p w:rsidR="00153A46" w:rsidRPr="00E71215" w:rsidRDefault="00153A46" w:rsidP="00153A46">
      <w:pPr>
        <w:pStyle w:val="ListParagraph"/>
        <w:widowControl w:val="0"/>
        <w:numPr>
          <w:ilvl w:val="0"/>
          <w:numId w:val="1"/>
        </w:numPr>
        <w:autoSpaceDE w:val="0"/>
        <w:autoSpaceDN w:val="0"/>
        <w:adjustRightInd w:val="0"/>
        <w:spacing w:after="0" w:line="240" w:lineRule="auto"/>
        <w:ind w:left="1095"/>
        <w:rPr>
          <w:rFonts w:ascii="Arial" w:hAnsi="Arial" w:cs="Arial"/>
        </w:rPr>
      </w:pPr>
      <w:proofErr w:type="gramStart"/>
      <w:r w:rsidRPr="00E71215">
        <w:rPr>
          <w:rFonts w:ascii="Arial" w:hAnsi="Arial" w:cs="Arial"/>
        </w:rPr>
        <w:t>the</w:t>
      </w:r>
      <w:proofErr w:type="gramEnd"/>
      <w:r w:rsidRPr="00E71215">
        <w:rPr>
          <w:rFonts w:ascii="Arial" w:hAnsi="Arial" w:cs="Arial"/>
        </w:rPr>
        <w:t xml:space="preserve"> on-going provision and maintenance of that service.</w:t>
      </w:r>
    </w:p>
    <w:p w:rsidR="00153A46" w:rsidRPr="00E71215" w:rsidRDefault="00153A46" w:rsidP="00153A46">
      <w:pPr>
        <w:widowControl w:val="0"/>
        <w:autoSpaceDE w:val="0"/>
        <w:autoSpaceDN w:val="0"/>
        <w:adjustRightInd w:val="0"/>
        <w:spacing w:after="0" w:line="240" w:lineRule="auto"/>
        <w:ind w:left="708"/>
        <w:rPr>
          <w:rFonts w:ascii="Arial" w:hAnsi="Arial" w:cs="Arial"/>
        </w:rPr>
      </w:pPr>
    </w:p>
    <w:p w:rsidR="00153A46" w:rsidRDefault="00153A46" w:rsidP="00153A46">
      <w:pPr>
        <w:widowControl w:val="0"/>
        <w:autoSpaceDE w:val="0"/>
        <w:autoSpaceDN w:val="0"/>
        <w:adjustRightInd w:val="0"/>
        <w:spacing w:after="0" w:line="240" w:lineRule="auto"/>
        <w:ind w:left="708"/>
        <w:rPr>
          <w:rFonts w:ascii="Arial" w:hAnsi="Arial" w:cs="Arial"/>
        </w:rPr>
      </w:pPr>
      <w:r w:rsidRPr="00E71215">
        <w:rPr>
          <w:rFonts w:ascii="Arial" w:hAnsi="Arial" w:cs="Arial"/>
        </w:rPr>
        <w:t>The responsibility could be primary, secondary (backup when the primary is absent), and/or delegated tasks in that area. Depending on your organization, different components of a service area may be assigned to different positions, and should be considered separately.</w:t>
      </w:r>
    </w:p>
    <w:p w:rsidR="00153A46" w:rsidRDefault="00153A46" w:rsidP="00153A46">
      <w:pPr>
        <w:widowControl w:val="0"/>
        <w:autoSpaceDE w:val="0"/>
        <w:autoSpaceDN w:val="0"/>
        <w:adjustRightInd w:val="0"/>
        <w:spacing w:after="0" w:line="240" w:lineRule="auto"/>
        <w:ind w:left="708"/>
        <w:rPr>
          <w:rFonts w:ascii="Arial" w:hAnsi="Arial" w:cs="Arial"/>
        </w:rPr>
      </w:pPr>
    </w:p>
    <w:p w:rsidR="00153A46" w:rsidRPr="00E71215" w:rsidRDefault="00153A46" w:rsidP="00153A46">
      <w:pPr>
        <w:widowControl w:val="0"/>
        <w:autoSpaceDE w:val="0"/>
        <w:autoSpaceDN w:val="0"/>
        <w:adjustRightInd w:val="0"/>
        <w:spacing w:after="0" w:line="240" w:lineRule="auto"/>
        <w:ind w:left="708"/>
        <w:rPr>
          <w:rFonts w:ascii="Arial" w:hAnsi="Arial" w:cs="Arial"/>
        </w:rPr>
      </w:pPr>
      <w:r>
        <w:rPr>
          <w:rFonts w:ascii="Arial" w:hAnsi="Arial" w:cs="Arial"/>
        </w:rPr>
        <w:t>For each of the categories below, identify the roles and responsibilities of the position:</w:t>
      </w:r>
    </w:p>
    <w:p w:rsidR="00153A46" w:rsidRPr="00E71215" w:rsidRDefault="00153A46" w:rsidP="00153A46">
      <w:pPr>
        <w:widowControl w:val="0"/>
        <w:autoSpaceDE w:val="0"/>
        <w:autoSpaceDN w:val="0"/>
        <w:adjustRightInd w:val="0"/>
        <w:spacing w:after="0" w:line="240" w:lineRule="auto"/>
        <w:ind w:left="708"/>
        <w:rPr>
          <w:rFonts w:ascii="Arial" w:hAnsi="Arial" w:cs="Arial"/>
        </w:rPr>
      </w:pPr>
    </w:p>
    <w:p w:rsidR="00153A46" w:rsidRPr="00E71215" w:rsidRDefault="00153A46" w:rsidP="00153A46">
      <w:pPr>
        <w:widowControl w:val="0"/>
        <w:autoSpaceDE w:val="0"/>
        <w:autoSpaceDN w:val="0"/>
        <w:adjustRightInd w:val="0"/>
        <w:spacing w:after="0" w:line="240" w:lineRule="auto"/>
        <w:ind w:left="708"/>
        <w:rPr>
          <w:rFonts w:ascii="Arial" w:hAnsi="Arial" w:cs="Arial"/>
          <w:b/>
          <w:bCs/>
        </w:rPr>
      </w:pPr>
      <w:r w:rsidRPr="00E71215">
        <w:rPr>
          <w:rFonts w:ascii="Arial" w:hAnsi="Arial" w:cs="Arial"/>
          <w:b/>
          <w:bCs/>
        </w:rPr>
        <w:t xml:space="preserve">Coordination and Leadership of </w:t>
      </w:r>
      <w:proofErr w:type="gramStart"/>
      <w:r w:rsidRPr="00E71215">
        <w:rPr>
          <w:rFonts w:ascii="Arial" w:hAnsi="Arial" w:cs="Arial"/>
          <w:b/>
          <w:bCs/>
        </w:rPr>
        <w:t>IT</w:t>
      </w:r>
      <w:proofErr w:type="gramEnd"/>
      <w:r w:rsidRPr="00E71215">
        <w:rPr>
          <w:rFonts w:ascii="Arial" w:hAnsi="Arial" w:cs="Arial"/>
          <w:b/>
          <w:bCs/>
        </w:rPr>
        <w:t xml:space="preserve"> Organization</w:t>
      </w:r>
    </w:p>
    <w:p w:rsidR="00153A46" w:rsidRPr="00E71215" w:rsidRDefault="00153A46" w:rsidP="00153A46">
      <w:pPr>
        <w:widowControl w:val="0"/>
        <w:autoSpaceDE w:val="0"/>
        <w:autoSpaceDN w:val="0"/>
        <w:adjustRightInd w:val="0"/>
        <w:spacing w:after="0" w:line="240" w:lineRule="auto"/>
        <w:ind w:left="708"/>
        <w:rPr>
          <w:rFonts w:ascii="Arial" w:hAnsi="Arial" w:cs="Arial"/>
        </w:rPr>
      </w:pPr>
      <w:r w:rsidRPr="00E71215">
        <w:rPr>
          <w:rFonts w:ascii="Arial" w:hAnsi="Arial" w:cs="Arial"/>
        </w:rPr>
        <w:t>(e.g., design of IT org structure, alignment of IT with departmental goals, coordinate with departmental planners/administrators, development and implementation of policies and processes, IT personnel management, integrating departmental and campus efforts, etc.)</w:t>
      </w:r>
    </w:p>
    <w:p w:rsidR="00153A46" w:rsidRPr="00E71215" w:rsidRDefault="00153A46" w:rsidP="00153A46">
      <w:pPr>
        <w:widowControl w:val="0"/>
        <w:autoSpaceDE w:val="0"/>
        <w:autoSpaceDN w:val="0"/>
        <w:adjustRightInd w:val="0"/>
        <w:spacing w:after="0" w:line="240" w:lineRule="auto"/>
        <w:ind w:left="708"/>
        <w:rPr>
          <w:rFonts w:ascii="Arial" w:hAnsi="Arial" w:cs="Arial"/>
        </w:rPr>
      </w:pPr>
    </w:p>
    <w:p w:rsidR="00153A46" w:rsidRPr="00E71215" w:rsidRDefault="00153A46" w:rsidP="00153A46">
      <w:pPr>
        <w:widowControl w:val="0"/>
        <w:autoSpaceDE w:val="0"/>
        <w:autoSpaceDN w:val="0"/>
        <w:adjustRightInd w:val="0"/>
        <w:spacing w:after="0" w:line="240" w:lineRule="auto"/>
        <w:ind w:left="708"/>
        <w:rPr>
          <w:rFonts w:ascii="Arial" w:hAnsi="Arial" w:cs="Arial"/>
          <w:b/>
          <w:bCs/>
        </w:rPr>
      </w:pPr>
      <w:r w:rsidRPr="00E71215">
        <w:rPr>
          <w:rFonts w:ascii="Arial" w:hAnsi="Arial" w:cs="Arial"/>
          <w:b/>
          <w:bCs/>
        </w:rPr>
        <w:t>Network Services</w:t>
      </w:r>
    </w:p>
    <w:p w:rsidR="00153A46" w:rsidRPr="00E71215" w:rsidRDefault="00153A46" w:rsidP="00153A46">
      <w:pPr>
        <w:widowControl w:val="0"/>
        <w:autoSpaceDE w:val="0"/>
        <w:autoSpaceDN w:val="0"/>
        <w:adjustRightInd w:val="0"/>
        <w:spacing w:after="0" w:line="240" w:lineRule="auto"/>
        <w:ind w:left="708"/>
        <w:rPr>
          <w:rFonts w:ascii="Arial" w:hAnsi="Arial" w:cs="Arial"/>
        </w:rPr>
      </w:pPr>
      <w:r w:rsidRPr="00E71215">
        <w:rPr>
          <w:rFonts w:ascii="Arial" w:hAnsi="Arial" w:cs="Arial"/>
        </w:rPr>
        <w:t>(e.g., responsible delegate of UCSB subnet, routing, device configuration and management, IP address management, wiring, port patching, capacity planning, log monitoring, intrusion detection and response, access control, DNS, etc.)</w:t>
      </w:r>
    </w:p>
    <w:p w:rsidR="00153A46" w:rsidRPr="00E71215" w:rsidRDefault="00153A46" w:rsidP="00153A46">
      <w:pPr>
        <w:widowControl w:val="0"/>
        <w:autoSpaceDE w:val="0"/>
        <w:autoSpaceDN w:val="0"/>
        <w:adjustRightInd w:val="0"/>
        <w:spacing w:after="0" w:line="240" w:lineRule="auto"/>
        <w:ind w:left="708"/>
        <w:rPr>
          <w:rFonts w:ascii="Arial" w:hAnsi="Arial" w:cs="Arial"/>
        </w:rPr>
      </w:pPr>
    </w:p>
    <w:p w:rsidR="00153A46" w:rsidRPr="00E71215" w:rsidRDefault="00153A46" w:rsidP="00153A46">
      <w:pPr>
        <w:widowControl w:val="0"/>
        <w:autoSpaceDE w:val="0"/>
        <w:autoSpaceDN w:val="0"/>
        <w:adjustRightInd w:val="0"/>
        <w:spacing w:after="0" w:line="240" w:lineRule="auto"/>
        <w:ind w:left="708"/>
        <w:rPr>
          <w:rFonts w:ascii="Arial" w:hAnsi="Arial" w:cs="Arial"/>
          <w:b/>
          <w:bCs/>
        </w:rPr>
      </w:pPr>
      <w:r w:rsidRPr="00E71215">
        <w:rPr>
          <w:rFonts w:ascii="Arial" w:hAnsi="Arial" w:cs="Arial"/>
          <w:b/>
          <w:bCs/>
        </w:rPr>
        <w:t>Hosted Services</w:t>
      </w:r>
    </w:p>
    <w:p w:rsidR="00153A46" w:rsidRPr="00E71215" w:rsidRDefault="00153A46" w:rsidP="00153A46">
      <w:pPr>
        <w:widowControl w:val="0"/>
        <w:autoSpaceDE w:val="0"/>
        <w:autoSpaceDN w:val="0"/>
        <w:adjustRightInd w:val="0"/>
        <w:spacing w:after="0" w:line="240" w:lineRule="auto"/>
        <w:ind w:left="708"/>
        <w:rPr>
          <w:rFonts w:ascii="Arial" w:hAnsi="Arial" w:cs="Arial"/>
        </w:rPr>
      </w:pPr>
      <w:r w:rsidRPr="00E71215">
        <w:rPr>
          <w:rFonts w:ascii="Arial" w:hAnsi="Arial" w:cs="Arial"/>
        </w:rPr>
        <w:t>(e.g., server environment, account management, data backup, database services, data storage/file service, email service, mail lists, print service, web service, server security, etc.)</w:t>
      </w:r>
    </w:p>
    <w:p w:rsidR="00153A46" w:rsidRPr="00E71215" w:rsidRDefault="00153A46" w:rsidP="00153A46">
      <w:pPr>
        <w:widowControl w:val="0"/>
        <w:autoSpaceDE w:val="0"/>
        <w:autoSpaceDN w:val="0"/>
        <w:adjustRightInd w:val="0"/>
        <w:spacing w:after="0" w:line="240" w:lineRule="auto"/>
        <w:ind w:left="708"/>
        <w:rPr>
          <w:rFonts w:ascii="Arial" w:hAnsi="Arial" w:cs="Arial"/>
        </w:rPr>
      </w:pPr>
    </w:p>
    <w:p w:rsidR="00153A46" w:rsidRPr="00E71215" w:rsidRDefault="00153A46" w:rsidP="00153A46">
      <w:pPr>
        <w:widowControl w:val="0"/>
        <w:autoSpaceDE w:val="0"/>
        <w:autoSpaceDN w:val="0"/>
        <w:adjustRightInd w:val="0"/>
        <w:spacing w:after="0" w:line="240" w:lineRule="auto"/>
        <w:ind w:left="708"/>
        <w:rPr>
          <w:rFonts w:ascii="Arial" w:hAnsi="Arial" w:cs="Arial"/>
          <w:b/>
          <w:bCs/>
        </w:rPr>
      </w:pPr>
      <w:r w:rsidRPr="00E71215">
        <w:rPr>
          <w:rFonts w:ascii="Arial" w:hAnsi="Arial" w:cs="Arial"/>
          <w:b/>
          <w:bCs/>
        </w:rPr>
        <w:t>Security</w:t>
      </w:r>
    </w:p>
    <w:p w:rsidR="00153A46" w:rsidRPr="00E71215" w:rsidRDefault="00153A46" w:rsidP="00153A46">
      <w:pPr>
        <w:widowControl w:val="0"/>
        <w:autoSpaceDE w:val="0"/>
        <w:autoSpaceDN w:val="0"/>
        <w:adjustRightInd w:val="0"/>
        <w:spacing w:after="0" w:line="240" w:lineRule="auto"/>
        <w:ind w:left="708"/>
        <w:rPr>
          <w:rFonts w:ascii="Arial" w:hAnsi="Arial" w:cs="Arial"/>
        </w:rPr>
      </w:pPr>
      <w:r w:rsidRPr="00E71215">
        <w:rPr>
          <w:rFonts w:ascii="Arial" w:hAnsi="Arial" w:cs="Arial"/>
        </w:rPr>
        <w:t>(e.g., network, server, and desktop intrusion prevention, detection, and response; contact for campus security/policy/legal entities; etc.)</w:t>
      </w:r>
    </w:p>
    <w:p w:rsidR="00153A46" w:rsidRPr="00E71215" w:rsidRDefault="00153A46" w:rsidP="00153A46">
      <w:pPr>
        <w:widowControl w:val="0"/>
        <w:autoSpaceDE w:val="0"/>
        <w:autoSpaceDN w:val="0"/>
        <w:adjustRightInd w:val="0"/>
        <w:spacing w:after="0" w:line="240" w:lineRule="auto"/>
        <w:ind w:left="708"/>
        <w:rPr>
          <w:rFonts w:ascii="Arial" w:hAnsi="Arial" w:cs="Arial"/>
        </w:rPr>
      </w:pPr>
    </w:p>
    <w:p w:rsidR="00153A46" w:rsidRPr="00E71215" w:rsidRDefault="00153A46" w:rsidP="00153A46">
      <w:pPr>
        <w:widowControl w:val="0"/>
        <w:autoSpaceDE w:val="0"/>
        <w:autoSpaceDN w:val="0"/>
        <w:adjustRightInd w:val="0"/>
        <w:spacing w:after="0" w:line="240" w:lineRule="auto"/>
        <w:ind w:left="708"/>
        <w:rPr>
          <w:rFonts w:ascii="Arial" w:hAnsi="Arial" w:cs="Arial"/>
          <w:b/>
          <w:bCs/>
        </w:rPr>
      </w:pPr>
      <w:r w:rsidRPr="00E71215">
        <w:rPr>
          <w:rFonts w:ascii="Arial" w:hAnsi="Arial" w:cs="Arial"/>
          <w:b/>
          <w:bCs/>
        </w:rPr>
        <w:t>Support Services</w:t>
      </w:r>
    </w:p>
    <w:p w:rsidR="00153A46" w:rsidRPr="00E71215" w:rsidRDefault="00153A46" w:rsidP="00153A46">
      <w:pPr>
        <w:widowControl w:val="0"/>
        <w:autoSpaceDE w:val="0"/>
        <w:autoSpaceDN w:val="0"/>
        <w:adjustRightInd w:val="0"/>
        <w:spacing w:after="0" w:line="240" w:lineRule="auto"/>
        <w:ind w:left="708"/>
        <w:rPr>
          <w:rFonts w:ascii="Arial" w:hAnsi="Arial" w:cs="Arial"/>
        </w:rPr>
      </w:pPr>
      <w:r w:rsidRPr="00E71215">
        <w:rPr>
          <w:rFonts w:ascii="Arial" w:hAnsi="Arial" w:cs="Arial"/>
        </w:rPr>
        <w:t>(e.g., Helpdesk management, documentation, training, analysis and consultation, hardware acquisition, installation and troubleshooting, software licensing, installation, and troubleshooting, support for hosted services, etc.)</w:t>
      </w:r>
    </w:p>
    <w:p w:rsidR="00153A46" w:rsidRPr="00E71215" w:rsidRDefault="00153A46" w:rsidP="00153A46">
      <w:pPr>
        <w:widowControl w:val="0"/>
        <w:autoSpaceDE w:val="0"/>
        <w:autoSpaceDN w:val="0"/>
        <w:adjustRightInd w:val="0"/>
        <w:spacing w:after="0" w:line="240" w:lineRule="auto"/>
        <w:ind w:left="708"/>
        <w:rPr>
          <w:rFonts w:ascii="Arial" w:hAnsi="Arial" w:cs="Arial"/>
        </w:rPr>
      </w:pPr>
    </w:p>
    <w:p w:rsidR="00153A46" w:rsidRPr="00E71215" w:rsidRDefault="00153A46" w:rsidP="00153A46">
      <w:pPr>
        <w:widowControl w:val="0"/>
        <w:autoSpaceDE w:val="0"/>
        <w:autoSpaceDN w:val="0"/>
        <w:adjustRightInd w:val="0"/>
        <w:spacing w:after="0" w:line="240" w:lineRule="auto"/>
        <w:ind w:left="708"/>
        <w:rPr>
          <w:rFonts w:ascii="Arial" w:hAnsi="Arial" w:cs="Arial"/>
          <w:b/>
          <w:bCs/>
        </w:rPr>
      </w:pPr>
      <w:r w:rsidRPr="00E71215">
        <w:rPr>
          <w:rFonts w:ascii="Arial" w:hAnsi="Arial" w:cs="Arial"/>
          <w:b/>
          <w:bCs/>
        </w:rPr>
        <w:t>Application Development</w:t>
      </w:r>
    </w:p>
    <w:p w:rsidR="00153A46" w:rsidRPr="00E71215" w:rsidRDefault="00153A46" w:rsidP="00153A46">
      <w:pPr>
        <w:widowControl w:val="0"/>
        <w:autoSpaceDE w:val="0"/>
        <w:autoSpaceDN w:val="0"/>
        <w:adjustRightInd w:val="0"/>
        <w:spacing w:after="0" w:line="240" w:lineRule="auto"/>
        <w:ind w:left="708"/>
        <w:rPr>
          <w:rFonts w:ascii="Arial" w:hAnsi="Arial" w:cs="Arial"/>
        </w:rPr>
      </w:pPr>
      <w:r w:rsidRPr="00E71215">
        <w:rPr>
          <w:rFonts w:ascii="Arial" w:hAnsi="Arial" w:cs="Arial"/>
        </w:rPr>
        <w:t>(e.g., internal tools development, application development</w:t>
      </w:r>
      <w:proofErr w:type="gramStart"/>
      <w:r w:rsidRPr="00E71215">
        <w:rPr>
          <w:rFonts w:ascii="Arial" w:hAnsi="Arial" w:cs="Arial"/>
        </w:rPr>
        <w:t>, programming</w:t>
      </w:r>
      <w:proofErr w:type="gramEnd"/>
      <w:r w:rsidRPr="00E71215">
        <w:rPr>
          <w:rFonts w:ascii="Arial" w:hAnsi="Arial" w:cs="Arial"/>
        </w:rPr>
        <w:t xml:space="preserve"> environments, web database application development, etc.)</w:t>
      </w:r>
    </w:p>
    <w:p w:rsidR="00153A46" w:rsidRPr="00E71215" w:rsidRDefault="00153A46" w:rsidP="00153A46">
      <w:pPr>
        <w:widowControl w:val="0"/>
        <w:autoSpaceDE w:val="0"/>
        <w:autoSpaceDN w:val="0"/>
        <w:adjustRightInd w:val="0"/>
        <w:spacing w:after="0" w:line="240" w:lineRule="auto"/>
        <w:ind w:left="708"/>
        <w:rPr>
          <w:rFonts w:ascii="Arial" w:hAnsi="Arial" w:cs="Arial"/>
        </w:rPr>
      </w:pPr>
    </w:p>
    <w:p w:rsidR="00153A46" w:rsidRPr="00E71215" w:rsidRDefault="00153A46" w:rsidP="00153A46">
      <w:pPr>
        <w:widowControl w:val="0"/>
        <w:autoSpaceDE w:val="0"/>
        <w:autoSpaceDN w:val="0"/>
        <w:adjustRightInd w:val="0"/>
        <w:spacing w:after="0" w:line="240" w:lineRule="auto"/>
        <w:ind w:left="708"/>
        <w:rPr>
          <w:rFonts w:ascii="Arial" w:hAnsi="Arial" w:cs="Arial"/>
          <w:b/>
          <w:bCs/>
        </w:rPr>
      </w:pPr>
      <w:r w:rsidRPr="00E71215">
        <w:rPr>
          <w:rFonts w:ascii="Arial" w:hAnsi="Arial" w:cs="Arial"/>
          <w:b/>
          <w:bCs/>
        </w:rPr>
        <w:t>Specialized Support</w:t>
      </w:r>
    </w:p>
    <w:p w:rsidR="00B47F0C" w:rsidRPr="00153A46" w:rsidRDefault="00153A46" w:rsidP="00153A46">
      <w:pPr>
        <w:spacing w:after="0" w:line="240" w:lineRule="auto"/>
        <w:ind w:left="708"/>
        <w:rPr>
          <w:rFonts w:ascii="Arial" w:hAnsi="Arial" w:cs="Arial"/>
          <w:b/>
          <w:color w:val="FF0000"/>
          <w:u w:val="single"/>
        </w:rPr>
      </w:pPr>
      <w:proofErr w:type="gramStart"/>
      <w:r w:rsidRPr="00E71215">
        <w:rPr>
          <w:rFonts w:ascii="Arial" w:hAnsi="Arial" w:cs="Arial"/>
        </w:rPr>
        <w:t>(e.g., analytical and specialized administrative application support, research support, lab management, instructional support, etc.)</w:t>
      </w:r>
      <w:bookmarkStart w:id="0" w:name="_GoBack"/>
      <w:bookmarkEnd w:id="0"/>
      <w:proofErr w:type="gramEnd"/>
    </w:p>
    <w:sectPr w:rsidR="00B47F0C" w:rsidRPr="00153A46" w:rsidSect="00153A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955ED"/>
    <w:multiLevelType w:val="hybridMultilevel"/>
    <w:tmpl w:val="4B22AC4C"/>
    <w:lvl w:ilvl="0" w:tplc="04090001">
      <w:start w:val="1"/>
      <w:numFmt w:val="bullet"/>
      <w:lvlText w:val=""/>
      <w:lvlJc w:val="left"/>
      <w:pPr>
        <w:ind w:left="2868" w:hanging="360"/>
      </w:pPr>
      <w:rPr>
        <w:rFonts w:ascii="Symbol" w:hAnsi="Symbol" w:hint="default"/>
      </w:rPr>
    </w:lvl>
    <w:lvl w:ilvl="1" w:tplc="04090003" w:tentative="1">
      <w:start w:val="1"/>
      <w:numFmt w:val="bullet"/>
      <w:lvlText w:val="o"/>
      <w:lvlJc w:val="left"/>
      <w:pPr>
        <w:ind w:left="3588" w:hanging="360"/>
      </w:pPr>
      <w:rPr>
        <w:rFonts w:ascii="Courier New" w:hAnsi="Courier New" w:hint="default"/>
      </w:rPr>
    </w:lvl>
    <w:lvl w:ilvl="2" w:tplc="04090005" w:tentative="1">
      <w:start w:val="1"/>
      <w:numFmt w:val="bullet"/>
      <w:lvlText w:val=""/>
      <w:lvlJc w:val="left"/>
      <w:pPr>
        <w:ind w:left="4308" w:hanging="360"/>
      </w:pPr>
      <w:rPr>
        <w:rFonts w:ascii="Wingdings" w:hAnsi="Wingdings" w:hint="default"/>
      </w:rPr>
    </w:lvl>
    <w:lvl w:ilvl="3" w:tplc="04090001" w:tentative="1">
      <w:start w:val="1"/>
      <w:numFmt w:val="bullet"/>
      <w:lvlText w:val=""/>
      <w:lvlJc w:val="left"/>
      <w:pPr>
        <w:ind w:left="5028" w:hanging="360"/>
      </w:pPr>
      <w:rPr>
        <w:rFonts w:ascii="Symbol" w:hAnsi="Symbol" w:hint="default"/>
      </w:rPr>
    </w:lvl>
    <w:lvl w:ilvl="4" w:tplc="04090003" w:tentative="1">
      <w:start w:val="1"/>
      <w:numFmt w:val="bullet"/>
      <w:lvlText w:val="o"/>
      <w:lvlJc w:val="left"/>
      <w:pPr>
        <w:ind w:left="5748" w:hanging="360"/>
      </w:pPr>
      <w:rPr>
        <w:rFonts w:ascii="Courier New" w:hAnsi="Courier New" w:hint="default"/>
      </w:rPr>
    </w:lvl>
    <w:lvl w:ilvl="5" w:tplc="04090005" w:tentative="1">
      <w:start w:val="1"/>
      <w:numFmt w:val="bullet"/>
      <w:lvlText w:val=""/>
      <w:lvlJc w:val="left"/>
      <w:pPr>
        <w:ind w:left="6468" w:hanging="360"/>
      </w:pPr>
      <w:rPr>
        <w:rFonts w:ascii="Wingdings" w:hAnsi="Wingdings" w:hint="default"/>
      </w:rPr>
    </w:lvl>
    <w:lvl w:ilvl="6" w:tplc="04090001" w:tentative="1">
      <w:start w:val="1"/>
      <w:numFmt w:val="bullet"/>
      <w:lvlText w:val=""/>
      <w:lvlJc w:val="left"/>
      <w:pPr>
        <w:ind w:left="7188" w:hanging="360"/>
      </w:pPr>
      <w:rPr>
        <w:rFonts w:ascii="Symbol" w:hAnsi="Symbol" w:hint="default"/>
      </w:rPr>
    </w:lvl>
    <w:lvl w:ilvl="7" w:tplc="04090003" w:tentative="1">
      <w:start w:val="1"/>
      <w:numFmt w:val="bullet"/>
      <w:lvlText w:val="o"/>
      <w:lvlJc w:val="left"/>
      <w:pPr>
        <w:ind w:left="7908" w:hanging="360"/>
      </w:pPr>
      <w:rPr>
        <w:rFonts w:ascii="Courier New" w:hAnsi="Courier New" w:hint="default"/>
      </w:rPr>
    </w:lvl>
    <w:lvl w:ilvl="8" w:tplc="04090005" w:tentative="1">
      <w:start w:val="1"/>
      <w:numFmt w:val="bullet"/>
      <w:lvlText w:val=""/>
      <w:lvlJc w:val="left"/>
      <w:pPr>
        <w:ind w:left="86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A46"/>
    <w:rsid w:val="00153A46"/>
    <w:rsid w:val="00B47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A4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A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A4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UC-Santa Barbara HR</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P Moore</dc:creator>
  <cp:lastModifiedBy>Kathryn P Moore</cp:lastModifiedBy>
  <cp:revision>1</cp:revision>
  <dcterms:created xsi:type="dcterms:W3CDTF">2012-12-04T23:09:00Z</dcterms:created>
  <dcterms:modified xsi:type="dcterms:W3CDTF">2012-12-04T23:15:00Z</dcterms:modified>
</cp:coreProperties>
</file>