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FB14"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000000"/>
        </w:rPr>
        <w:t>Deans, Department Heads, Management Services Officers, Administrative Assistants:</w:t>
      </w:r>
      <w:r w:rsidRPr="00692797">
        <w:rPr>
          <w:rFonts w:ascii="Times New Roman" w:eastAsia="Times New Roman" w:hAnsi="Times New Roman" w:cs="Times New Roman"/>
          <w:color w:val="000000"/>
        </w:rPr>
        <w:br/>
      </w:r>
      <w:r w:rsidRPr="00692797">
        <w:rPr>
          <w:rFonts w:ascii="Times New Roman" w:eastAsia="Times New Roman" w:hAnsi="Times New Roman" w:cs="Times New Roman"/>
          <w:color w:val="000000"/>
        </w:rPr>
        <w:br/>
        <w:t xml:space="preserve">The memo below is being sent to the </w:t>
      </w:r>
      <w:proofErr w:type="spellStart"/>
      <w:r w:rsidRPr="00692797">
        <w:rPr>
          <w:rFonts w:ascii="Times New Roman" w:eastAsia="Times New Roman" w:hAnsi="Times New Roman" w:cs="Times New Roman"/>
          <w:color w:val="000000"/>
        </w:rPr>
        <w:t>dlist</w:t>
      </w:r>
      <w:proofErr w:type="spellEnd"/>
      <w:r w:rsidRPr="00692797">
        <w:rPr>
          <w:rFonts w:ascii="Times New Roman" w:eastAsia="Times New Roman" w:hAnsi="Times New Roman" w:cs="Times New Roman"/>
          <w:color w:val="000000"/>
        </w:rPr>
        <w:t>-l listserv. Thank you for serving as one of the representatives for your department to receive this memo. Please distribute this message to the colleagues in your department.</w:t>
      </w:r>
      <w:r w:rsidRPr="00692797">
        <w:rPr>
          <w:rFonts w:ascii="Times New Roman" w:eastAsia="Times New Roman" w:hAnsi="Times New Roman" w:cs="Times New Roman"/>
          <w:color w:val="000000"/>
        </w:rPr>
        <w:br/>
      </w:r>
      <w:r w:rsidRPr="00692797">
        <w:rPr>
          <w:rFonts w:ascii="Times New Roman" w:eastAsia="Times New Roman" w:hAnsi="Times New Roman" w:cs="Times New Roman"/>
          <w:color w:val="000000"/>
        </w:rPr>
        <w:br/>
        <w:t>Thank you.</w:t>
      </w:r>
    </w:p>
    <w:p w14:paraId="7CC410B8" w14:textId="77777777" w:rsidR="00692797" w:rsidRPr="00692797" w:rsidRDefault="00692797" w:rsidP="00692797">
      <w:pPr>
        <w:shd w:val="clear" w:color="auto" w:fill="FFFFFF"/>
        <w:spacing w:after="240"/>
        <w:rPr>
          <w:rFonts w:ascii="Arial" w:eastAsia="Times New Roman" w:hAnsi="Arial" w:cs="Arial"/>
          <w:color w:val="222222"/>
        </w:rPr>
      </w:pPr>
      <w:r w:rsidRPr="00692797">
        <w:rPr>
          <w:rFonts w:ascii="Times New Roman" w:eastAsia="Times New Roman" w:hAnsi="Times New Roman" w:cs="Times New Roman"/>
          <w:color w:val="000000"/>
        </w:rPr>
        <w:t>*********PLEASE GIVE WIDEST DISTRIBUTION**********</w:t>
      </w:r>
      <w:r w:rsidRPr="00692797">
        <w:rPr>
          <w:rFonts w:ascii="Times New Roman" w:eastAsia="Times New Roman" w:hAnsi="Times New Roman" w:cs="Times New Roman"/>
          <w:color w:val="000000"/>
        </w:rPr>
        <w:br/>
      </w:r>
    </w:p>
    <w:p w14:paraId="08C2569D" w14:textId="77777777" w:rsidR="00692797" w:rsidRPr="00692797" w:rsidRDefault="00692797" w:rsidP="00692797">
      <w:pPr>
        <w:shd w:val="clear" w:color="auto" w:fill="FFFFFF"/>
        <w:rPr>
          <w:rFonts w:ascii="Arial" w:eastAsia="Times New Roman" w:hAnsi="Arial" w:cs="Arial"/>
          <w:color w:val="222222"/>
        </w:rPr>
      </w:pPr>
      <w:r w:rsidRPr="00692797">
        <w:rPr>
          <w:rFonts w:ascii="Arial" w:eastAsia="Times New Roman" w:hAnsi="Arial" w:cs="Arial"/>
          <w:color w:val="222222"/>
        </w:rPr>
        <w:t> </w:t>
      </w:r>
    </w:p>
    <w:p w14:paraId="22816A94"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April 14, 2016</w:t>
      </w:r>
    </w:p>
    <w:p w14:paraId="59E26351"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5D08F311"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TO:      Department Heads, Managers, Supervisors, and Policy-Covered Staff</w:t>
      </w:r>
    </w:p>
    <w:p w14:paraId="3B61A872"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2C87EC04"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xml:space="preserve">FR:      Cynthia </w:t>
      </w:r>
      <w:proofErr w:type="spellStart"/>
      <w:r w:rsidRPr="00692797">
        <w:rPr>
          <w:rFonts w:ascii="Times New Roman" w:eastAsia="Times New Roman" w:hAnsi="Times New Roman" w:cs="Times New Roman"/>
          <w:color w:val="222222"/>
        </w:rPr>
        <w:t>Señeriz</w:t>
      </w:r>
      <w:proofErr w:type="spellEnd"/>
      <w:r w:rsidRPr="00692797">
        <w:rPr>
          <w:rFonts w:ascii="Times New Roman" w:eastAsia="Times New Roman" w:hAnsi="Times New Roman" w:cs="Times New Roman"/>
          <w:color w:val="222222"/>
        </w:rPr>
        <w:t>, Acting Director, Human Resources</w:t>
      </w:r>
    </w:p>
    <w:p w14:paraId="75761DAE"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4F5DA04F"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color w:val="222222"/>
        </w:rPr>
        <w:t>RE:      Important Clarification about Performance Evaluation Ratings for Policy-Covered (Non-</w:t>
      </w:r>
      <w:r w:rsidRPr="00692797">
        <w:rPr>
          <w:rFonts w:ascii="Times New Roman" w:eastAsia="Times New Roman" w:hAnsi="Times New Roman" w:cs="Times New Roman"/>
          <w:color w:val="1F497D"/>
        </w:rPr>
        <w:t> </w:t>
      </w:r>
      <w:r w:rsidRPr="00692797">
        <w:rPr>
          <w:rFonts w:ascii="Times New Roman" w:eastAsia="Times New Roman" w:hAnsi="Times New Roman" w:cs="Times New Roman"/>
          <w:color w:val="222222"/>
        </w:rPr>
        <w:t>Represented) Staff</w:t>
      </w:r>
    </w:p>
    <w:p w14:paraId="55DBD987"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6E350048"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I would like to thank all of you who have started taking steps to ensure the completion of performance evaluations in anticipation of the upcoming policy-covered staff (non-represented) salary program.  The transition to the core competency-based Performance Evaluation form for this fiscal year (FY2015-16) will require a fresh mindset towards performance ratings and a new leveling of performance standards for policy-covered staff.</w:t>
      </w:r>
    </w:p>
    <w:p w14:paraId="0258CE1C"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23E7B6B4"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Previously, the performance evaluation ratings for policy-covered staff were described as shown below. </w:t>
      </w:r>
    </w:p>
    <w:p w14:paraId="0B58E985"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6D033A6D"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b/>
          <w:bCs/>
          <w:color w:val="222222"/>
        </w:rPr>
        <w:t>EVALUATION STANDARDS:</w:t>
      </w:r>
      <w:r w:rsidRPr="00692797">
        <w:rPr>
          <w:rFonts w:ascii="Times New Roman" w:eastAsia="Times New Roman" w:hAnsi="Times New Roman" w:cs="Times New Roman"/>
          <w:color w:val="222222"/>
        </w:rPr>
        <w:t>         Please rate each job function according to the following definitions:</w:t>
      </w:r>
    </w:p>
    <w:p w14:paraId="2FE560C2"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color w:val="222222"/>
        </w:rPr>
        <w:t> </w:t>
      </w:r>
    </w:p>
    <w:p w14:paraId="0DBDC161"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b/>
          <w:bCs/>
          <w:color w:val="222222"/>
        </w:rPr>
        <w:t>1 - LEVEL I:</w:t>
      </w:r>
      <w:r w:rsidRPr="00692797">
        <w:rPr>
          <w:rFonts w:ascii="Times New Roman" w:eastAsia="Times New Roman" w:hAnsi="Times New Roman" w:cs="Times New Roman"/>
          <w:color w:val="222222"/>
        </w:rPr>
        <w:t>  Demonstrates a high degree of expertise and mastery in all aspects of the position in a professional manner.</w:t>
      </w:r>
    </w:p>
    <w:p w14:paraId="43B063FB"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color w:val="222222"/>
        </w:rPr>
        <w:t> </w:t>
      </w:r>
    </w:p>
    <w:p w14:paraId="60F8616F"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b/>
          <w:bCs/>
          <w:color w:val="222222"/>
        </w:rPr>
        <w:t>2 - LEVEL II:</w:t>
      </w:r>
      <w:r w:rsidRPr="00692797">
        <w:rPr>
          <w:rFonts w:ascii="Times New Roman" w:eastAsia="Times New Roman" w:hAnsi="Times New Roman" w:cs="Times New Roman"/>
          <w:color w:val="222222"/>
        </w:rPr>
        <w:t>  Fully performs the entire range of duties in a professional manner.</w:t>
      </w:r>
    </w:p>
    <w:p w14:paraId="33BEC394"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color w:val="222222"/>
        </w:rPr>
        <w:t> </w:t>
      </w:r>
    </w:p>
    <w:p w14:paraId="3861DFF4"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b/>
          <w:bCs/>
          <w:color w:val="222222"/>
        </w:rPr>
        <w:t>3 - LEVEL III:</w:t>
      </w:r>
      <w:r w:rsidRPr="00692797">
        <w:rPr>
          <w:rFonts w:ascii="Times New Roman" w:eastAsia="Times New Roman" w:hAnsi="Times New Roman" w:cs="Times New Roman"/>
          <w:color w:val="222222"/>
        </w:rPr>
        <w:t>  Generally performs essential duties satisfactorily.</w:t>
      </w:r>
    </w:p>
    <w:p w14:paraId="1DD96FA8"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color w:val="222222"/>
        </w:rPr>
        <w:t> </w:t>
      </w:r>
    </w:p>
    <w:p w14:paraId="399D359B" w14:textId="77777777" w:rsidR="00692797" w:rsidRPr="00692797" w:rsidRDefault="00692797" w:rsidP="00692797">
      <w:pPr>
        <w:shd w:val="clear" w:color="auto" w:fill="FFFFFF"/>
        <w:ind w:left="630"/>
        <w:rPr>
          <w:rFonts w:ascii="Arial" w:eastAsia="Times New Roman" w:hAnsi="Arial" w:cs="Arial"/>
          <w:color w:val="222222"/>
        </w:rPr>
      </w:pPr>
      <w:r w:rsidRPr="00692797">
        <w:rPr>
          <w:rFonts w:ascii="Times New Roman" w:eastAsia="Times New Roman" w:hAnsi="Times New Roman" w:cs="Times New Roman"/>
          <w:b/>
          <w:bCs/>
          <w:color w:val="222222"/>
        </w:rPr>
        <w:t>4 - LEVEL IV: </w:t>
      </w:r>
      <w:r w:rsidRPr="00692797">
        <w:rPr>
          <w:rFonts w:ascii="Times New Roman" w:eastAsia="Times New Roman" w:hAnsi="Times New Roman" w:cs="Times New Roman"/>
          <w:color w:val="222222"/>
        </w:rPr>
        <w:t> Does not perform essential duties in a satisfactory manner.</w:t>
      </w:r>
    </w:p>
    <w:p w14:paraId="5F1E5047"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28FA8CE2"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The new core competency-based </w:t>
      </w:r>
      <w:hyperlink r:id="rId4" w:tgtFrame="_blank" w:history="1">
        <w:r w:rsidRPr="00692797">
          <w:rPr>
            <w:rFonts w:ascii="Times New Roman" w:eastAsia="Times New Roman" w:hAnsi="Times New Roman" w:cs="Times New Roman"/>
            <w:color w:val="1155CC"/>
            <w:u w:val="single"/>
          </w:rPr>
          <w:t>Performance Evaluation form</w:t>
        </w:r>
      </w:hyperlink>
      <w:r w:rsidRPr="00692797">
        <w:rPr>
          <w:rFonts w:ascii="Times New Roman" w:eastAsia="Times New Roman" w:hAnsi="Times New Roman" w:cs="Times New Roman"/>
          <w:color w:val="222222"/>
        </w:rPr>
        <w:t xml:space="preserve"> describes performance standards in much clearer terms. The performance evaluation rating should be chosen based on the full description, not the label.  Using the full description to guide the actual rating will provide a single, consistent basis for evaluating policy-covered staff performance.  A normal distribution suggests that approximately 75% of the current year’s performances could be described as very good which is equivalent to the definition for Meets Expectations.  This recalibration in ratings </w:t>
      </w:r>
      <w:r w:rsidRPr="00692797">
        <w:rPr>
          <w:rFonts w:ascii="Times New Roman" w:eastAsia="Times New Roman" w:hAnsi="Times New Roman" w:cs="Times New Roman"/>
          <w:color w:val="222222"/>
        </w:rPr>
        <w:lastRenderedPageBreak/>
        <w:t>will result in fewer employees receiving ratings of Exceptional and Exceeds Expectations, and is aligned with the systemwide message from the Office of the President concerning performance management.</w:t>
      </w:r>
    </w:p>
    <w:p w14:paraId="2EFB92D1"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tbl>
      <w:tblPr>
        <w:tblW w:w="0" w:type="auto"/>
        <w:shd w:val="clear" w:color="auto" w:fill="FFFFFF"/>
        <w:tblCellMar>
          <w:left w:w="0" w:type="dxa"/>
          <w:right w:w="0" w:type="dxa"/>
        </w:tblCellMar>
        <w:tblLook w:val="04A0" w:firstRow="1" w:lastRow="0" w:firstColumn="1" w:lastColumn="0" w:noHBand="0" w:noVBand="1"/>
      </w:tblPr>
      <w:tblGrid>
        <w:gridCol w:w="1970"/>
        <w:gridCol w:w="1970"/>
        <w:gridCol w:w="1750"/>
        <w:gridCol w:w="1739"/>
        <w:gridCol w:w="1911"/>
      </w:tblGrid>
      <w:tr w:rsidR="00692797" w:rsidRPr="00692797" w14:paraId="15436DBD" w14:textId="77777777" w:rsidTr="00692797">
        <w:trPr>
          <w:trHeight w:val="557"/>
        </w:trPr>
        <w:tc>
          <w:tcPr>
            <w:tcW w:w="1439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C382B" w14:textId="77777777" w:rsidR="00692797" w:rsidRPr="00692797" w:rsidRDefault="00692797" w:rsidP="00692797">
            <w:pPr>
              <w:spacing w:before="100" w:beforeAutospacing="1" w:after="100" w:afterAutospacing="1" w:line="205" w:lineRule="atLeast"/>
              <w:rPr>
                <w:rFonts w:ascii="Helvetica" w:eastAsia="Times New Roman" w:hAnsi="Helvetica" w:cs="Arial"/>
                <w:color w:val="222222"/>
              </w:rPr>
            </w:pPr>
            <w:r w:rsidRPr="00692797">
              <w:rPr>
                <w:rFonts w:ascii="Times New Roman" w:eastAsia="Times New Roman" w:hAnsi="Times New Roman" w:cs="Times New Roman"/>
                <w:b/>
                <w:bCs/>
                <w:color w:val="222222"/>
              </w:rPr>
              <w:t>OVERALL RATING FOR THE PERFORMANCE EVALUATION:</w:t>
            </w:r>
          </w:p>
        </w:tc>
      </w:tr>
      <w:tr w:rsidR="00692797" w:rsidRPr="00692797" w14:paraId="652C032C" w14:textId="77777777" w:rsidTr="00692797">
        <w:trPr>
          <w:trHeight w:val="143"/>
        </w:trPr>
        <w:tc>
          <w:tcPr>
            <w:tcW w:w="2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5B444"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Segoe UI Symbol" w:eastAsia="Times New Roman" w:hAnsi="Segoe UI Symbol" w:cs="Arial"/>
                <w:color w:val="222222"/>
              </w:rPr>
              <w:t>☐</w:t>
            </w:r>
          </w:p>
          <w:p w14:paraId="5F716EEA"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b/>
                <w:bCs/>
                <w:color w:val="222222"/>
              </w:rPr>
              <w:t>EXCEPTIONAL</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8FB86"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Segoe UI Symbol" w:eastAsia="Times New Roman" w:hAnsi="Segoe UI Symbol" w:cs="Arial"/>
                <w:color w:val="222222"/>
              </w:rPr>
              <w:t>☐</w:t>
            </w:r>
          </w:p>
          <w:p w14:paraId="5C960876"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b/>
                <w:bCs/>
                <w:color w:val="222222"/>
              </w:rPr>
              <w:t>EXCEEDS EXPECTATIONS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F8D55"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Segoe UI Symbol" w:eastAsia="Times New Roman" w:hAnsi="Segoe UI Symbol" w:cs="Arial"/>
                <w:color w:val="222222"/>
              </w:rPr>
              <w:t>☐</w:t>
            </w:r>
          </w:p>
          <w:p w14:paraId="6F6DB005"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b/>
                <w:bCs/>
                <w:color w:val="222222"/>
              </w:rPr>
              <w:t>MEETS EXPECTATIONS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6AE39"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Segoe UI Symbol" w:eastAsia="Times New Roman" w:hAnsi="Segoe UI Symbol" w:cs="Arial"/>
                <w:color w:val="222222"/>
              </w:rPr>
              <w:t>☐</w:t>
            </w:r>
          </w:p>
          <w:p w14:paraId="41569B98"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b/>
                <w:bCs/>
                <w:color w:val="222222"/>
              </w:rPr>
              <w:t>IMPROVEMENT NEEDED</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BFCB9"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Segoe UI Symbol" w:eastAsia="Times New Roman" w:hAnsi="Segoe UI Symbol" w:cs="Arial"/>
                <w:color w:val="222222"/>
              </w:rPr>
              <w:t>☐</w:t>
            </w:r>
          </w:p>
          <w:p w14:paraId="253B0B44"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b/>
                <w:bCs/>
                <w:color w:val="222222"/>
              </w:rPr>
              <w:t>CONSISTENTLY BELOW EXPECTATIONS</w:t>
            </w:r>
          </w:p>
        </w:tc>
      </w:tr>
      <w:tr w:rsidR="00692797" w:rsidRPr="00692797" w14:paraId="27DFBE80" w14:textId="77777777" w:rsidTr="00692797">
        <w:trPr>
          <w:trHeight w:val="142"/>
        </w:trPr>
        <w:tc>
          <w:tcPr>
            <w:tcW w:w="2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29629"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u w:val="single"/>
              </w:rPr>
              <w:t>Far exceeded</w:t>
            </w:r>
            <w:r w:rsidRPr="00692797">
              <w:rPr>
                <w:rFonts w:ascii="Times New Roman" w:eastAsia="Times New Roman" w:hAnsi="Times New Roman" w:cs="Times New Roman"/>
                <w:color w:val="222222"/>
              </w:rPr>
              <w:t> performance expectations due to exceptionally high quality of work performed </w:t>
            </w:r>
            <w:r w:rsidRPr="00692797">
              <w:rPr>
                <w:rFonts w:ascii="Times New Roman" w:eastAsia="Times New Roman" w:hAnsi="Times New Roman" w:cs="Times New Roman"/>
                <w:color w:val="222222"/>
                <w:u w:val="single"/>
              </w:rPr>
              <w:t>in all essential areas</w:t>
            </w:r>
            <w:r w:rsidRPr="00692797">
              <w:rPr>
                <w:rFonts w:ascii="Times New Roman" w:eastAsia="Times New Roman" w:hAnsi="Times New Roman" w:cs="Times New Roman"/>
                <w:color w:val="222222"/>
              </w:rPr>
              <w:t> of responsibility, resulting in an overall quality of work that was superior, and either 1) included the completion of a major project, or 2) made an exceptional or unique contribution in support of unit, department, or University objectives. This rating is achievable by any employee though given infrequently.</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C7814F"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u w:val="single"/>
              </w:rPr>
              <w:t>Consistently exceeded</w:t>
            </w:r>
            <w:r w:rsidRPr="00692797">
              <w:rPr>
                <w:rFonts w:ascii="Times New Roman" w:eastAsia="Times New Roman" w:hAnsi="Times New Roman" w:cs="Times New Roman"/>
                <w:color w:val="222222"/>
              </w:rPr>
              <w:t> performance expectations </w:t>
            </w:r>
            <w:r w:rsidRPr="00692797">
              <w:rPr>
                <w:rFonts w:ascii="Times New Roman" w:eastAsia="Times New Roman" w:hAnsi="Times New Roman" w:cs="Times New Roman"/>
                <w:color w:val="222222"/>
                <w:u w:val="single"/>
              </w:rPr>
              <w:t>in most essential areas</w:t>
            </w:r>
            <w:r w:rsidRPr="00692797">
              <w:rPr>
                <w:rFonts w:ascii="Times New Roman" w:eastAsia="Times New Roman" w:hAnsi="Times New Roman" w:cs="Times New Roman"/>
                <w:color w:val="222222"/>
              </w:rPr>
              <w:t> of a responsibility, and the quality of work overall was excellent.</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86216"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u w:val="single"/>
              </w:rPr>
              <w:t>Consistently met</w:t>
            </w:r>
            <w:r w:rsidRPr="00692797">
              <w:rPr>
                <w:rFonts w:ascii="Times New Roman" w:eastAsia="Times New Roman" w:hAnsi="Times New Roman" w:cs="Times New Roman"/>
                <w:color w:val="222222"/>
              </w:rPr>
              <w:t> performance expectations </w:t>
            </w:r>
            <w:r w:rsidRPr="00692797">
              <w:rPr>
                <w:rFonts w:ascii="Times New Roman" w:eastAsia="Times New Roman" w:hAnsi="Times New Roman" w:cs="Times New Roman"/>
                <w:color w:val="222222"/>
                <w:u w:val="single"/>
              </w:rPr>
              <w:t>in all essential areas</w:t>
            </w:r>
            <w:r w:rsidRPr="00692797">
              <w:rPr>
                <w:rFonts w:ascii="Times New Roman" w:eastAsia="Times New Roman" w:hAnsi="Times New Roman" w:cs="Times New Roman"/>
                <w:color w:val="222222"/>
              </w:rPr>
              <w:t> of responsibility, at times possibly exceeding expectations, and the quality of work overall was very good.</w:t>
            </w:r>
          </w:p>
          <w:p w14:paraId="3C9783D1"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 </w:t>
            </w:r>
          </w:p>
          <w:p w14:paraId="1BA8B324"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 </w:t>
            </w:r>
          </w:p>
          <w:p w14:paraId="31ED3EE0"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 </w:t>
            </w:r>
          </w:p>
          <w:p w14:paraId="7591E632"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 </w:t>
            </w:r>
          </w:p>
          <w:p w14:paraId="79390FA9"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 </w:t>
            </w:r>
          </w:p>
          <w:p w14:paraId="1D1ABE35"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E74B5"/>
              </w:rPr>
              <w:t>A normal distribution suggests that very good work describes ~75% of the workforce</w:t>
            </w:r>
          </w:p>
          <w:p w14:paraId="25FFBBD1" w14:textId="77777777" w:rsidR="00692797" w:rsidRPr="00692797" w:rsidRDefault="00692797" w:rsidP="00692797">
            <w:pPr>
              <w:spacing w:before="100" w:beforeAutospacing="1" w:after="100" w:afterAutospacing="1" w:line="205" w:lineRule="atLeast"/>
              <w:rPr>
                <w:rFonts w:ascii="Helvetica" w:eastAsia="Times New Roman" w:hAnsi="Helvetica" w:cs="Arial"/>
                <w:color w:val="222222"/>
              </w:rPr>
            </w:pPr>
            <w:r w:rsidRPr="00692797">
              <w:rPr>
                <w:rFonts w:ascii="Times New Roman" w:eastAsia="Times New Roman" w:hAnsi="Times New Roman" w:cs="Times New Roman"/>
                <w:color w:val="2E74B5"/>
              </w:rPr>
              <w:lastRenderedPageBreak/>
              <w:t> </w:t>
            </w:r>
          </w:p>
          <w:p w14:paraId="5ED4FC1E"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 </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8F7C5"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u w:val="single"/>
              </w:rPr>
              <w:lastRenderedPageBreak/>
              <w:t>Did not consistently meet</w:t>
            </w:r>
            <w:r w:rsidRPr="00692797">
              <w:rPr>
                <w:rFonts w:ascii="Times New Roman" w:eastAsia="Times New Roman" w:hAnsi="Times New Roman" w:cs="Times New Roman"/>
                <w:color w:val="222222"/>
              </w:rPr>
              <w:t> performance expectations </w:t>
            </w:r>
            <w:r w:rsidRPr="00692797">
              <w:rPr>
                <w:rFonts w:ascii="Times New Roman" w:eastAsia="Times New Roman" w:hAnsi="Times New Roman" w:cs="Times New Roman"/>
                <w:color w:val="222222"/>
                <w:u w:val="single"/>
              </w:rPr>
              <w:t>in one or more essential area</w:t>
            </w:r>
            <w:r w:rsidRPr="00692797">
              <w:rPr>
                <w:rFonts w:ascii="Times New Roman" w:eastAsia="Times New Roman" w:hAnsi="Times New Roman" w:cs="Times New Roman"/>
                <w:color w:val="222222"/>
              </w:rPr>
              <w:t> of responsibility. A professional development plan to improve performance will be outlined in </w:t>
            </w:r>
            <w:r w:rsidRPr="00692797">
              <w:rPr>
                <w:rFonts w:ascii="Times New Roman" w:eastAsia="Times New Roman" w:hAnsi="Times New Roman" w:cs="Times New Roman"/>
                <w:b/>
                <w:bCs/>
                <w:color w:val="222222"/>
              </w:rPr>
              <w:t>Section Four</w:t>
            </w:r>
            <w:r w:rsidRPr="00692797">
              <w:rPr>
                <w:rFonts w:ascii="Times New Roman" w:eastAsia="Times New Roman" w:hAnsi="Times New Roman" w:cs="Times New Roman"/>
                <w:color w:val="222222"/>
              </w:rPr>
              <w:t>, including timelines, and monitored to measure progress.</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6177C" w14:textId="77777777" w:rsidR="00692797" w:rsidRPr="00692797" w:rsidRDefault="00692797" w:rsidP="00692797">
            <w:pPr>
              <w:spacing w:before="100" w:beforeAutospacing="1" w:after="100" w:afterAutospacing="1" w:line="205" w:lineRule="atLeast"/>
              <w:jc w:val="center"/>
              <w:rPr>
                <w:rFonts w:ascii="Helvetica" w:eastAsia="Times New Roman" w:hAnsi="Helvetica" w:cs="Arial"/>
                <w:color w:val="222222"/>
              </w:rPr>
            </w:pPr>
            <w:r w:rsidRPr="00692797">
              <w:rPr>
                <w:rFonts w:ascii="Times New Roman" w:eastAsia="Times New Roman" w:hAnsi="Times New Roman" w:cs="Times New Roman"/>
                <w:color w:val="222222"/>
              </w:rPr>
              <w:t>Performance </w:t>
            </w:r>
            <w:r w:rsidRPr="00692797">
              <w:rPr>
                <w:rFonts w:ascii="Times New Roman" w:eastAsia="Times New Roman" w:hAnsi="Times New Roman" w:cs="Times New Roman"/>
                <w:color w:val="222222"/>
                <w:u w:val="single"/>
              </w:rPr>
              <w:t>was unsatisfactory and consistently below</w:t>
            </w:r>
            <w:r w:rsidRPr="00692797">
              <w:rPr>
                <w:rFonts w:ascii="Times New Roman" w:eastAsia="Times New Roman" w:hAnsi="Times New Roman" w:cs="Times New Roman"/>
                <w:color w:val="222222"/>
              </w:rPr>
              <w:t> expectations </w:t>
            </w:r>
            <w:r w:rsidRPr="00692797">
              <w:rPr>
                <w:rFonts w:ascii="Times New Roman" w:eastAsia="Times New Roman" w:hAnsi="Times New Roman" w:cs="Times New Roman"/>
                <w:color w:val="222222"/>
                <w:u w:val="single"/>
              </w:rPr>
              <w:t>in most essential areas</w:t>
            </w:r>
            <w:r w:rsidRPr="00692797">
              <w:rPr>
                <w:rFonts w:ascii="Times New Roman" w:eastAsia="Times New Roman" w:hAnsi="Times New Roman" w:cs="Times New Roman"/>
                <w:color w:val="222222"/>
              </w:rPr>
              <w:t> of responsibility. Significant improvement is needed in one or more important areas. A plan to correct performance will be outlined in </w:t>
            </w:r>
            <w:r w:rsidRPr="00692797">
              <w:rPr>
                <w:rFonts w:ascii="Times New Roman" w:eastAsia="Times New Roman" w:hAnsi="Times New Roman" w:cs="Times New Roman"/>
                <w:b/>
                <w:bCs/>
                <w:color w:val="222222"/>
              </w:rPr>
              <w:t>Section Four</w:t>
            </w:r>
            <w:r w:rsidRPr="00692797">
              <w:rPr>
                <w:rFonts w:ascii="Times New Roman" w:eastAsia="Times New Roman" w:hAnsi="Times New Roman" w:cs="Times New Roman"/>
                <w:color w:val="222222"/>
              </w:rPr>
              <w:t>, including timelines, and monitored to measure progress.</w:t>
            </w:r>
          </w:p>
        </w:tc>
      </w:tr>
    </w:tbl>
    <w:p w14:paraId="4D9BEECB"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1F497D"/>
        </w:rPr>
        <w:t> </w:t>
      </w:r>
    </w:p>
    <w:p w14:paraId="7224C7B9"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(If the image does not appear above below, please follow this link to the HR web site: </w:t>
      </w:r>
      <w:hyperlink r:id="rId5" w:tgtFrame="_blank" w:history="1">
        <w:r w:rsidRPr="00692797">
          <w:rPr>
            <w:rFonts w:ascii="Times New Roman" w:eastAsia="Times New Roman" w:hAnsi="Times New Roman" w:cs="Times New Roman"/>
            <w:color w:val="1155CC"/>
            <w:u w:val="single"/>
          </w:rPr>
          <w:t>http://www.hr.ucsb.edu/memos/2016/important-clarification-about-performance-evaluation-ratings-policy-covered-non</w:t>
        </w:r>
      </w:hyperlink>
    </w:p>
    <w:p w14:paraId="080EE638"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3EA295EF"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To ensure that the results of this recalibration are not misinterpreted as a decline in individual performance, a copy of this memorandum should be attached to the performance evaluation form to become a part of the policy-covered staff member’s personnel record.  In addition, the following language has been incorporated into the performance evaluation form this year:  </w:t>
      </w:r>
      <w:r w:rsidRPr="00692797">
        <w:rPr>
          <w:rFonts w:ascii="Times New Roman" w:eastAsia="Times New Roman" w:hAnsi="Times New Roman" w:cs="Times New Roman"/>
          <w:i/>
          <w:iCs/>
          <w:color w:val="222222"/>
        </w:rPr>
        <w:t xml:space="preserve">Unless otherwise indicated in an individual’s performance evaluation document, a shift in the performance rating from prior years is not a reflection of a decline in the performance or efforts of this valued staff member, but rather a renewed emphasis on </w:t>
      </w:r>
      <w:proofErr w:type="spellStart"/>
      <w:r w:rsidRPr="00692797">
        <w:rPr>
          <w:rFonts w:ascii="Times New Roman" w:eastAsia="Times New Roman" w:hAnsi="Times New Roman" w:cs="Times New Roman"/>
          <w:i/>
          <w:iCs/>
          <w:color w:val="222222"/>
        </w:rPr>
        <w:t>campuswide</w:t>
      </w:r>
      <w:proofErr w:type="spellEnd"/>
      <w:r w:rsidRPr="00692797">
        <w:rPr>
          <w:rFonts w:ascii="Times New Roman" w:eastAsia="Times New Roman" w:hAnsi="Times New Roman" w:cs="Times New Roman"/>
          <w:i/>
          <w:iCs/>
          <w:color w:val="222222"/>
        </w:rPr>
        <w:t xml:space="preserve"> performance expectations and a leveling of performance standards by all supervisors of policy-covered staff</w:t>
      </w:r>
      <w:r w:rsidRPr="00692797">
        <w:rPr>
          <w:rFonts w:ascii="Times New Roman" w:eastAsia="Times New Roman" w:hAnsi="Times New Roman" w:cs="Times New Roman"/>
          <w:color w:val="222222"/>
        </w:rPr>
        <w:t>. </w:t>
      </w:r>
    </w:p>
    <w:p w14:paraId="7E5ED660"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175317F0"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There are three important reminders that I want to mention as performance evaluations are completed over the next two months:</w:t>
      </w:r>
    </w:p>
    <w:p w14:paraId="69CA1DCA" w14:textId="77777777" w:rsidR="00692797" w:rsidRPr="00692797" w:rsidRDefault="00692797" w:rsidP="00692797">
      <w:pPr>
        <w:shd w:val="clear" w:color="auto" w:fill="FFFFFF"/>
        <w:spacing w:before="100" w:beforeAutospacing="1" w:after="100" w:afterAutospacing="1"/>
        <w:ind w:left="765"/>
        <w:rPr>
          <w:rFonts w:ascii="Arial" w:eastAsia="Times New Roman" w:hAnsi="Arial" w:cs="Arial"/>
          <w:color w:val="222222"/>
        </w:rPr>
      </w:pPr>
      <w:r w:rsidRPr="00692797">
        <w:rPr>
          <w:rFonts w:ascii="Symbol" w:eastAsia="Times New Roman" w:hAnsi="Symbol" w:cs="Arial"/>
          <w:color w:val="222222"/>
        </w:rPr>
        <w:t>·</w:t>
      </w:r>
      <w:r w:rsidRPr="00692797">
        <w:rPr>
          <w:rFonts w:ascii="Times New Roman" w:eastAsia="Times New Roman" w:hAnsi="Times New Roman" w:cs="Times New Roman"/>
          <w:color w:val="222222"/>
          <w:sz w:val="14"/>
          <w:szCs w:val="14"/>
        </w:rPr>
        <w:t>        </w:t>
      </w:r>
      <w:r w:rsidRPr="00692797">
        <w:rPr>
          <w:rFonts w:ascii="Times New Roman" w:eastAsia="Times New Roman" w:hAnsi="Times New Roman" w:cs="Times New Roman"/>
          <w:color w:val="222222"/>
        </w:rPr>
        <w:t>Keep in mind that the perception of fairness is enhanced where a process exists to ensure that more than one level of management is reviewing the proposed performance rating, </w:t>
      </w:r>
      <w:r w:rsidRPr="00692797">
        <w:rPr>
          <w:rFonts w:ascii="Times New Roman" w:eastAsia="Times New Roman" w:hAnsi="Times New Roman" w:cs="Times New Roman"/>
          <w:i/>
          <w:iCs/>
          <w:color w:val="222222"/>
        </w:rPr>
        <w:t>before the performance rating is shared with the employee.</w:t>
      </w:r>
    </w:p>
    <w:p w14:paraId="09E5B2CA" w14:textId="77777777" w:rsidR="00692797" w:rsidRPr="00692797" w:rsidRDefault="00692797" w:rsidP="00692797">
      <w:pPr>
        <w:shd w:val="clear" w:color="auto" w:fill="FFFFFF"/>
        <w:spacing w:before="100" w:beforeAutospacing="1" w:after="100" w:afterAutospacing="1"/>
        <w:ind w:left="765"/>
        <w:rPr>
          <w:rFonts w:ascii="Arial" w:eastAsia="Times New Roman" w:hAnsi="Arial" w:cs="Arial"/>
          <w:color w:val="222222"/>
        </w:rPr>
      </w:pPr>
      <w:r w:rsidRPr="00692797">
        <w:rPr>
          <w:rFonts w:ascii="Symbol" w:eastAsia="Times New Roman" w:hAnsi="Symbol" w:cs="Arial"/>
          <w:color w:val="222222"/>
        </w:rPr>
        <w:t>·</w:t>
      </w:r>
      <w:r w:rsidRPr="00692797">
        <w:rPr>
          <w:rFonts w:ascii="Times New Roman" w:eastAsia="Times New Roman" w:hAnsi="Times New Roman" w:cs="Times New Roman"/>
          <w:color w:val="222222"/>
          <w:sz w:val="14"/>
          <w:szCs w:val="14"/>
        </w:rPr>
        <w:t>        </w:t>
      </w:r>
      <w:r w:rsidRPr="00692797">
        <w:rPr>
          <w:rFonts w:ascii="Times New Roman" w:eastAsia="Times New Roman" w:hAnsi="Times New Roman" w:cs="Times New Roman"/>
          <w:color w:val="222222"/>
        </w:rPr>
        <w:t>Make plans to ensure that all policy-covered staff who report to you will have a recently completed performance evaluation on file </w:t>
      </w:r>
      <w:r w:rsidRPr="00692797">
        <w:rPr>
          <w:rFonts w:ascii="Times New Roman" w:eastAsia="Times New Roman" w:hAnsi="Times New Roman" w:cs="Times New Roman"/>
          <w:color w:val="222222"/>
          <w:u w:val="single"/>
        </w:rPr>
        <w:t>no later than June 3, 2016</w:t>
      </w:r>
      <w:r w:rsidRPr="00692797">
        <w:rPr>
          <w:rFonts w:ascii="Times New Roman" w:eastAsia="Times New Roman" w:hAnsi="Times New Roman" w:cs="Times New Roman"/>
          <w:color w:val="222222"/>
        </w:rPr>
        <w:t>. </w:t>
      </w:r>
    </w:p>
    <w:p w14:paraId="4C08B225" w14:textId="77777777" w:rsidR="00692797" w:rsidRPr="00692797" w:rsidRDefault="00692797" w:rsidP="00692797">
      <w:pPr>
        <w:shd w:val="clear" w:color="auto" w:fill="FFFFFF"/>
        <w:spacing w:before="100" w:beforeAutospacing="1" w:after="100" w:afterAutospacing="1"/>
        <w:ind w:left="765"/>
        <w:rPr>
          <w:rFonts w:ascii="Arial" w:eastAsia="Times New Roman" w:hAnsi="Arial" w:cs="Arial"/>
          <w:color w:val="222222"/>
        </w:rPr>
      </w:pPr>
      <w:r w:rsidRPr="00692797">
        <w:rPr>
          <w:rFonts w:ascii="Symbol" w:eastAsia="Times New Roman" w:hAnsi="Symbol" w:cs="Arial"/>
          <w:color w:val="222222"/>
        </w:rPr>
        <w:t>·</w:t>
      </w:r>
      <w:r w:rsidRPr="00692797">
        <w:rPr>
          <w:rFonts w:ascii="Times New Roman" w:eastAsia="Times New Roman" w:hAnsi="Times New Roman" w:cs="Times New Roman"/>
          <w:color w:val="222222"/>
          <w:sz w:val="14"/>
          <w:szCs w:val="14"/>
        </w:rPr>
        <w:t>        </w:t>
      </w:r>
      <w:r w:rsidRPr="00692797">
        <w:rPr>
          <w:rFonts w:ascii="Times New Roman" w:eastAsia="Times New Roman" w:hAnsi="Times New Roman" w:cs="Times New Roman"/>
          <w:color w:val="222222"/>
        </w:rPr>
        <w:t>Don’t lose sight of the future.  The performance review process serves two purposes:  to evaluate past performance and to support future skill/job development as well as career development of our staff.  Look for training and development opportunities that promote growth in skills, knowledge, and abilities.  Whether these development activities are documented using an </w:t>
      </w:r>
      <w:hyperlink r:id="rId6" w:tgtFrame="_blank" w:history="1">
        <w:r w:rsidRPr="00692797">
          <w:rPr>
            <w:rFonts w:ascii="Times New Roman" w:eastAsia="Times New Roman" w:hAnsi="Times New Roman" w:cs="Times New Roman"/>
            <w:color w:val="1155CC"/>
            <w:u w:val="single"/>
          </w:rPr>
          <w:t>Individual Development Plan</w:t>
        </w:r>
      </w:hyperlink>
      <w:r w:rsidRPr="00692797">
        <w:rPr>
          <w:rFonts w:ascii="Times New Roman" w:eastAsia="Times New Roman" w:hAnsi="Times New Roman" w:cs="Times New Roman"/>
          <w:color w:val="222222"/>
        </w:rPr>
        <w:t> (IDP) or under the Professional/Skill Development Plan section of the </w:t>
      </w:r>
      <w:hyperlink r:id="rId7" w:tgtFrame="_blank" w:history="1">
        <w:r w:rsidRPr="00692797">
          <w:rPr>
            <w:rFonts w:ascii="Times New Roman" w:eastAsia="Times New Roman" w:hAnsi="Times New Roman" w:cs="Times New Roman"/>
            <w:color w:val="1155CC"/>
            <w:u w:val="single"/>
          </w:rPr>
          <w:t>Performance Evaluation form</w:t>
        </w:r>
      </w:hyperlink>
      <w:r w:rsidRPr="00692797">
        <w:rPr>
          <w:rFonts w:ascii="Times New Roman" w:eastAsia="Times New Roman" w:hAnsi="Times New Roman" w:cs="Times New Roman"/>
          <w:color w:val="222222"/>
        </w:rPr>
        <w:t>, time should be set aside to discuss activities that support each individual’s skill development. </w:t>
      </w:r>
    </w:p>
    <w:p w14:paraId="04A70937"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1719394E"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Prior related communications:</w:t>
      </w:r>
    </w:p>
    <w:p w14:paraId="3DB83343"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5E936795"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April 7 2016 Memo to Campus Community regarding Performance Evaluations for Policy-Covered Staff:</w:t>
      </w:r>
    </w:p>
    <w:p w14:paraId="57F99B97" w14:textId="77777777" w:rsidR="00692797" w:rsidRPr="00692797" w:rsidRDefault="00692797" w:rsidP="00692797">
      <w:pPr>
        <w:shd w:val="clear" w:color="auto" w:fill="FFFFFF"/>
        <w:rPr>
          <w:rFonts w:ascii="Arial" w:eastAsia="Times New Roman" w:hAnsi="Arial" w:cs="Arial"/>
          <w:color w:val="222222"/>
        </w:rPr>
      </w:pPr>
      <w:hyperlink r:id="rId8" w:tgtFrame="_blank" w:history="1">
        <w:r w:rsidRPr="00692797">
          <w:rPr>
            <w:rFonts w:ascii="Times New Roman" w:eastAsia="Times New Roman" w:hAnsi="Times New Roman" w:cs="Times New Roman"/>
            <w:color w:val="1155CC"/>
            <w:u w:val="single"/>
          </w:rPr>
          <w:t>http://www.hr.ucsb.edu/memos/2016/fy-2015-16-performance-evaluations-policy-covered-staff</w:t>
        </w:r>
      </w:hyperlink>
    </w:p>
    <w:p w14:paraId="1DD2CF3E"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 </w:t>
      </w:r>
    </w:p>
    <w:p w14:paraId="3B6539C4" w14:textId="77777777" w:rsidR="00692797" w:rsidRPr="00692797" w:rsidRDefault="00692797" w:rsidP="00692797">
      <w:pPr>
        <w:shd w:val="clear" w:color="auto" w:fill="FFFFFF"/>
        <w:rPr>
          <w:rFonts w:ascii="Arial" w:eastAsia="Times New Roman" w:hAnsi="Arial" w:cs="Arial"/>
          <w:color w:val="222222"/>
        </w:rPr>
      </w:pPr>
      <w:r w:rsidRPr="00692797">
        <w:rPr>
          <w:rFonts w:ascii="Times New Roman" w:eastAsia="Times New Roman" w:hAnsi="Times New Roman" w:cs="Times New Roman"/>
          <w:color w:val="222222"/>
        </w:rPr>
        <w:t>November 6 2015 Memo to Campus Community regarding FY 2015-16 Performance Management Cycle for Policy-Covered Staff:  </w:t>
      </w:r>
      <w:hyperlink r:id="rId9" w:tgtFrame="_blank" w:history="1">
        <w:r w:rsidRPr="00692797">
          <w:rPr>
            <w:rFonts w:ascii="Times New Roman" w:eastAsia="Times New Roman" w:hAnsi="Times New Roman" w:cs="Times New Roman"/>
            <w:color w:val="1155CC"/>
            <w:u w:val="single"/>
          </w:rPr>
          <w:t>http://www.hr.ucsb.edu/memos/2015/fy-2015-16-performance-management-cycle-policy-covered-staff</w:t>
        </w:r>
      </w:hyperlink>
    </w:p>
    <w:p w14:paraId="0D3FE72E" w14:textId="77777777" w:rsidR="001D306C" w:rsidRDefault="00692797"/>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97"/>
    <w:rsid w:val="00153B89"/>
    <w:rsid w:val="00692797"/>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59D006"/>
  <w15:chartTrackingRefBased/>
  <w15:docId w15:val="{29763E15-3383-B540-879F-4D9958D1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797"/>
    <w:rPr>
      <w:color w:val="0000FF"/>
      <w:u w:val="single"/>
    </w:rPr>
  </w:style>
  <w:style w:type="paragraph" w:styleId="NormalWeb">
    <w:name w:val="Normal (Web)"/>
    <w:basedOn w:val="Normal"/>
    <w:uiPriority w:val="99"/>
    <w:semiHidden/>
    <w:unhideWhenUsed/>
    <w:rsid w:val="006927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csb.edu/memos/2016/fy-2015-16-performance-evaluations-policy-covered-staff" TargetMode="External"/><Relationship Id="rId3" Type="http://schemas.openxmlformats.org/officeDocument/2006/relationships/webSettings" Target="webSettings.xml"/><Relationship Id="rId7" Type="http://schemas.openxmlformats.org/officeDocument/2006/relationships/hyperlink" Target="http://www.hr.ucsb.edu/sites/www.hr.ucsb.edu/files/docs/Performance%20Eval%20Form%20-%20Non-Represented%20Staff%20%20%28Type-In%29%20Version_201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csb.edu/sites/www.hr.ucsb.edu/files/forms/Individual_Development_Plan_Form.doc" TargetMode="External"/><Relationship Id="rId11" Type="http://schemas.openxmlformats.org/officeDocument/2006/relationships/theme" Target="theme/theme1.xml"/><Relationship Id="rId5" Type="http://schemas.openxmlformats.org/officeDocument/2006/relationships/hyperlink" Target="http://www.hr.ucsb.edu/memos/2016/important-clarification-about-performance-evaluation-ratings-policy-covered-non" TargetMode="External"/><Relationship Id="rId10" Type="http://schemas.openxmlformats.org/officeDocument/2006/relationships/fontTable" Target="fontTable.xml"/><Relationship Id="rId4" Type="http://schemas.openxmlformats.org/officeDocument/2006/relationships/hyperlink" Target="http://www.hr.ucsb.edu/sites/www.hr.ucsb.edu/files/docs/Performance%20Eval%20Form%20-%20Non-Represented%20Staff%20%20%28Type-In%29%20Version_2016.docx" TargetMode="External"/><Relationship Id="rId9" Type="http://schemas.openxmlformats.org/officeDocument/2006/relationships/hyperlink" Target="http://www.hr.ucsb.edu/memos/2015/fy-2015-16-performance-management-cycle-policy-covere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2021-02-11T17:53:00Z</dcterms:created>
  <dcterms:modified xsi:type="dcterms:W3CDTF">2021-02-11T17:53:00Z</dcterms:modified>
</cp:coreProperties>
</file>